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6014" w:rsidRDefault="00CF6014">
      <w:pPr>
        <w:spacing w:line="480" w:lineRule="auto"/>
        <w:jc w:val="center"/>
      </w:pPr>
    </w:p>
    <w:p w:rsidR="00CF6014" w:rsidRDefault="00CF6014">
      <w:pPr>
        <w:spacing w:line="480" w:lineRule="auto"/>
        <w:jc w:val="center"/>
      </w:pPr>
    </w:p>
    <w:p w:rsidR="00CF6014" w:rsidRDefault="00CF6014">
      <w:pPr>
        <w:spacing w:line="480" w:lineRule="auto"/>
        <w:jc w:val="center"/>
      </w:pPr>
    </w:p>
    <w:p w:rsidR="00CF6014" w:rsidRDefault="00000000">
      <w:pPr>
        <w:spacing w:line="480" w:lineRule="auto"/>
        <w:jc w:val="center"/>
      </w:pPr>
      <w:r>
        <w:rPr>
          <w:b/>
        </w:rPr>
        <w:t>Exploration of the Nurse Practitioner Role and DNP Education</w:t>
      </w:r>
    </w:p>
    <w:p w:rsidR="00CF6014" w:rsidRDefault="00CF6014">
      <w:pPr>
        <w:spacing w:line="480" w:lineRule="auto"/>
        <w:jc w:val="center"/>
      </w:pPr>
    </w:p>
    <w:p w:rsidR="00CF6014" w:rsidRDefault="00000000">
      <w:pPr>
        <w:spacing w:line="480" w:lineRule="auto"/>
        <w:jc w:val="center"/>
      </w:pPr>
      <w:r>
        <w:t xml:space="preserve">Tess </w:t>
      </w:r>
      <w:proofErr w:type="spellStart"/>
      <w:r>
        <w:t>Walde</w:t>
      </w:r>
      <w:proofErr w:type="spellEnd"/>
    </w:p>
    <w:p w:rsidR="00CF6014" w:rsidRDefault="00000000">
      <w:pPr>
        <w:spacing w:line="480" w:lineRule="auto"/>
        <w:jc w:val="center"/>
      </w:pPr>
      <w:r>
        <w:t>Midwestern University</w:t>
      </w:r>
    </w:p>
    <w:p w:rsidR="00CF6014" w:rsidRDefault="00000000">
      <w:pPr>
        <w:spacing w:line="480" w:lineRule="auto"/>
        <w:jc w:val="center"/>
      </w:pPr>
      <w:r>
        <w:t>1502: The Scientific Underpinnings of the DNP</w:t>
      </w:r>
    </w:p>
    <w:p w:rsidR="00CF6014" w:rsidRDefault="00000000">
      <w:pPr>
        <w:spacing w:line="480" w:lineRule="auto"/>
        <w:jc w:val="center"/>
      </w:pPr>
      <w:r>
        <w:t>Dr. Mary Heider</w:t>
      </w:r>
    </w:p>
    <w:p w:rsidR="00CF6014" w:rsidRDefault="00000000">
      <w:pPr>
        <w:spacing w:line="480" w:lineRule="auto"/>
        <w:jc w:val="center"/>
      </w:pPr>
      <w:r>
        <w:t>September 14, 2025</w:t>
      </w:r>
    </w:p>
    <w:p w:rsidR="00CF6014" w:rsidRDefault="00CF6014">
      <w:pPr>
        <w:sectPr w:rsidR="00CF6014">
          <w:headerReference w:type="default" r:id="rId6"/>
          <w:pgSz w:w="12240" w:h="15840"/>
          <w:pgMar w:top="1440" w:right="1440" w:bottom="1440" w:left="1440" w:header="720" w:footer="720" w:gutter="0"/>
          <w:cols w:space="720"/>
        </w:sectPr>
      </w:pPr>
    </w:p>
    <w:p w:rsidR="00CF6014" w:rsidRDefault="00000000">
      <w:pPr>
        <w:spacing w:line="480" w:lineRule="auto"/>
        <w:jc w:val="center"/>
      </w:pPr>
      <w:r>
        <w:rPr>
          <w:b/>
        </w:rPr>
        <w:lastRenderedPageBreak/>
        <w:t>Exploration of the Nurse Practitioner Role and DNP Education</w:t>
      </w:r>
    </w:p>
    <w:p w:rsidR="00CF6014" w:rsidRDefault="00000000">
      <w:pPr>
        <w:spacing w:line="480" w:lineRule="auto"/>
        <w:jc w:val="center"/>
      </w:pPr>
      <w:r>
        <w:rPr>
          <w:b/>
        </w:rPr>
        <w:t>Role Exploration</w:t>
      </w:r>
    </w:p>
    <w:p w:rsidR="00CF6014" w:rsidRDefault="00000000">
      <w:pPr>
        <w:spacing w:line="480" w:lineRule="auto"/>
      </w:pPr>
      <w:r>
        <w:rPr>
          <w:b/>
        </w:rPr>
        <w:t>Intended Role</w:t>
      </w:r>
    </w:p>
    <w:p w:rsidR="00CF6014" w:rsidRDefault="00000000">
      <w:pPr>
        <w:spacing w:line="480" w:lineRule="auto"/>
        <w:ind w:firstLine="720"/>
      </w:pPr>
      <w:r>
        <w:t>Upon completion of the DNP degree, my goal is working within the British Columbia (BC) Ministry of Health or a provincial health authority for program development addressing healthcare disparities. I want to remain engaged in direct Nurse Practitioner (NP) patient care part-time as it fuels my passion for this work. Representation from providers employed in frontline primary care is necessary to develop realistic solutions to health inequalities.</w:t>
      </w:r>
    </w:p>
    <w:p w:rsidR="00CF6014" w:rsidRDefault="00000000">
      <w:pPr>
        <w:spacing w:line="480" w:lineRule="auto"/>
      </w:pPr>
      <w:r>
        <w:rPr>
          <w:b/>
        </w:rPr>
        <w:t>DNP Preparation</w:t>
      </w:r>
    </w:p>
    <w:p w:rsidR="00CF6014" w:rsidRDefault="00000000">
      <w:pPr>
        <w:spacing w:line="480" w:lineRule="auto"/>
        <w:ind w:firstLine="720"/>
      </w:pPr>
      <w:r>
        <w:t>DNP education increases integration of evidence-based knowledge and frontline experience for primary care improvement (Markiewicz, 2025). These changes are possible through identifying one’s inherent leadership style to elicit change within a healthcare system (Deng et al., 2023). DNP instruction promotes use of change theory frameworks for responsive quality improvement approaches to ensure long-term sustainability (Petersen, Roberts, &amp; Schadewald, 2025).</w:t>
      </w:r>
    </w:p>
    <w:p w:rsidR="00CF6014" w:rsidRDefault="00000000">
      <w:pPr>
        <w:spacing w:line="480" w:lineRule="auto"/>
      </w:pPr>
      <w:r>
        <w:rPr>
          <w:b/>
        </w:rPr>
        <w:t>Problem Identification</w:t>
      </w:r>
    </w:p>
    <w:p w:rsidR="00CF6014" w:rsidRDefault="00000000">
      <w:pPr>
        <w:spacing w:line="480" w:lineRule="auto"/>
        <w:ind w:firstLine="720"/>
      </w:pPr>
      <w:r>
        <w:t>Through my NP work in the corrections healthcare setting, I have identified three challenges to providing best-practice services. These include the lack of standardized patient withdrawal protocols at admission, an outdated electronic medical record (EMR), and poor NP role recognition.   </w:t>
      </w:r>
    </w:p>
    <w:p w:rsidR="00CF6014" w:rsidRDefault="00000000">
      <w:pPr>
        <w:spacing w:line="480" w:lineRule="auto"/>
      </w:pPr>
      <w:r>
        <w:rPr>
          <w:b/>
        </w:rPr>
        <w:t>Lack of Standardized Withdrawal Management</w:t>
      </w:r>
    </w:p>
    <w:p w:rsidR="00CF6014" w:rsidRDefault="00000000">
      <w:pPr>
        <w:spacing w:line="480" w:lineRule="auto"/>
      </w:pPr>
      <w:r>
        <w:rPr>
          <w:b/>
          <w:i/>
        </w:rPr>
        <w:t>Prevalence and Impact</w:t>
      </w:r>
    </w:p>
    <w:p w:rsidR="00CF6014" w:rsidRDefault="00000000">
      <w:pPr>
        <w:spacing w:line="480" w:lineRule="auto"/>
        <w:ind w:firstLine="720"/>
      </w:pPr>
      <w:r>
        <w:lastRenderedPageBreak/>
        <w:t>Lack of a standardized approach to new admission withdrawal management increases staff workload and poor patient outcomes. Different "styles" of prescribing create inconsistent medication ordering to manage sequelae of the withdrawal experience. Provider preference for certain medications and mismatched patient expectations can create frustration in the provider-patient relationship (Kaplowitz et al., 2022). Decision support tools and clearly worded practice prompts as seen in pre-printed order (PPO) protocols are not available to mitigate these difficulties in the therapeutic relationship (</w:t>
      </w:r>
      <w:proofErr w:type="spellStart"/>
      <w:r>
        <w:t>Ehringer</w:t>
      </w:r>
      <w:proofErr w:type="spellEnd"/>
      <w:r>
        <w:t xml:space="preserve"> &amp; Duffy, 2009).</w:t>
      </w:r>
    </w:p>
    <w:p w:rsidR="00CF6014" w:rsidRDefault="00000000">
      <w:pPr>
        <w:spacing w:line="480" w:lineRule="auto"/>
      </w:pPr>
      <w:r>
        <w:rPr>
          <w:b/>
          <w:i/>
        </w:rPr>
        <w:t>Relevance to Patient and Systems</w:t>
      </w:r>
    </w:p>
    <w:p w:rsidR="00CF6014" w:rsidRDefault="00000000">
      <w:pPr>
        <w:spacing w:line="480" w:lineRule="auto"/>
        <w:ind w:firstLine="720"/>
      </w:pPr>
      <w:r>
        <w:t>There is higher incidence of medication errors, inefficient time management, and poor documentation when prescribers and nurses are without access to standardized medication order sets (</w:t>
      </w:r>
      <w:proofErr w:type="spellStart"/>
      <w:r>
        <w:t>Ehringer</w:t>
      </w:r>
      <w:proofErr w:type="spellEnd"/>
      <w:r>
        <w:t xml:space="preserve"> &amp; Duffy, 2009). This increases the workload for healthcare professionals already under significant pressure to meet care demands.</w:t>
      </w:r>
    </w:p>
    <w:p w:rsidR="00CF6014" w:rsidRDefault="00000000">
      <w:pPr>
        <w:spacing w:line="480" w:lineRule="auto"/>
        <w:ind w:firstLine="720"/>
      </w:pPr>
      <w:r>
        <w:t>While incarcerated, people who use substances (PWUS) that are poorly supported through their initial withdrawal period become less likely to use harm reduction resources. Instead, they will pursue diverted medications to self-medicate their withdrawal symptoms (Evans et al., 2024). If patients relapse after discharge, there is a significant risk of fatality from drug poisoning (Kaplowitz et al., 2022). Even when patients survive the first 90 days post-discharge from corrections, they are less likely to seek sobriety opportunities, leading to re-incarceration for charges relating to substance use (Butler et al., 2024).      </w:t>
      </w:r>
    </w:p>
    <w:p w:rsidR="00CF6014" w:rsidRDefault="00000000">
      <w:pPr>
        <w:spacing w:line="480" w:lineRule="auto"/>
      </w:pPr>
      <w:r>
        <w:rPr>
          <w:b/>
        </w:rPr>
        <w:t>Outdated EMR</w:t>
      </w:r>
    </w:p>
    <w:p w:rsidR="00CF6014" w:rsidRDefault="00000000">
      <w:pPr>
        <w:spacing w:line="480" w:lineRule="auto"/>
      </w:pPr>
      <w:r>
        <w:rPr>
          <w:b/>
          <w:i/>
        </w:rPr>
        <w:t>Prevalence and Impact</w:t>
      </w:r>
    </w:p>
    <w:p w:rsidR="00CF6014" w:rsidRDefault="00000000">
      <w:pPr>
        <w:spacing w:line="480" w:lineRule="auto"/>
        <w:ind w:firstLine="720"/>
      </w:pPr>
      <w:r>
        <w:t xml:space="preserve">The current EMR used in corrections requires navigation to separate screens for all information types such as medical history, medications, and allergies. Lab results are not </w:t>
      </w:r>
      <w:r>
        <w:lastRenderedPageBreak/>
        <w:t>integrated into the EMR and are still reviewed on paper. The increased cognitive load of navigating and recalling information from previous screens increases risk of clinical errors by providers with inadvertent harm to patients (</w:t>
      </w:r>
      <w:proofErr w:type="spellStart"/>
      <w:r>
        <w:t>Nijor</w:t>
      </w:r>
      <w:proofErr w:type="spellEnd"/>
      <w:r>
        <w:t xml:space="preserve"> et al., 2022).</w:t>
      </w:r>
    </w:p>
    <w:p w:rsidR="00CF6014" w:rsidRDefault="00000000">
      <w:pPr>
        <w:spacing w:line="480" w:lineRule="auto"/>
      </w:pPr>
      <w:r>
        <w:rPr>
          <w:b/>
          <w:i/>
        </w:rPr>
        <w:t>Relevance to Patient and Systems</w:t>
      </w:r>
    </w:p>
    <w:p w:rsidR="00CF6014" w:rsidRDefault="00000000">
      <w:pPr>
        <w:spacing w:line="480" w:lineRule="auto"/>
        <w:ind w:firstLine="720"/>
      </w:pPr>
      <w:r>
        <w:t>Medication errors, missed patient information, and lost lab results cause unintentional patient harm including mortality. Time lost to administrative work and inefficient EMR chart processes reduces capacity for patient engagement. Providers can spend up to double the time charting as they do with patients. Lack of a contemporary EMR does not promote best practice in the practice environment (</w:t>
      </w:r>
      <w:proofErr w:type="spellStart"/>
      <w:r>
        <w:t>Nijor</w:t>
      </w:r>
      <w:proofErr w:type="spellEnd"/>
      <w:r>
        <w:t xml:space="preserve"> et al., 2022).  </w:t>
      </w:r>
    </w:p>
    <w:p w:rsidR="00CF6014" w:rsidRDefault="00000000">
      <w:pPr>
        <w:spacing w:line="480" w:lineRule="auto"/>
      </w:pPr>
      <w:r>
        <w:rPr>
          <w:b/>
        </w:rPr>
        <w:t>NP Role Unrecognized in Policy Documents</w:t>
      </w:r>
    </w:p>
    <w:p w:rsidR="00CF6014" w:rsidRDefault="00000000">
      <w:pPr>
        <w:spacing w:line="480" w:lineRule="auto"/>
      </w:pPr>
      <w:r>
        <w:rPr>
          <w:b/>
          <w:i/>
        </w:rPr>
        <w:t>Prevalence and Impact</w:t>
      </w:r>
    </w:p>
    <w:p w:rsidR="00CF6014" w:rsidRDefault="00000000">
      <w:pPr>
        <w:spacing w:line="480" w:lineRule="auto"/>
        <w:ind w:firstLine="720"/>
      </w:pPr>
      <w:r>
        <w:t>The role of an NP in corrections is to provide comprehensive primary care comparable in scope to a general practitioner (Government of Canada, 2025). This includes clearing or certifying patients on suicide monitoring. The policy document outlining permissions for suicide watch clearance was written prior to introducing NPs into BC's correctional centers. It does not give NPs authority to perform this function. Unnecessary patient isolation and inefficient use of the physician on call service is the result. </w:t>
      </w:r>
    </w:p>
    <w:p w:rsidR="00CF6014" w:rsidRDefault="00000000">
      <w:pPr>
        <w:spacing w:line="480" w:lineRule="auto"/>
      </w:pPr>
      <w:r>
        <w:rPr>
          <w:b/>
          <w:i/>
        </w:rPr>
        <w:t>Relevance to Patient and Systems</w:t>
      </w:r>
    </w:p>
    <w:p w:rsidR="00CF6014" w:rsidRDefault="00000000">
      <w:pPr>
        <w:spacing w:line="480" w:lineRule="auto"/>
        <w:ind w:firstLine="720"/>
      </w:pPr>
      <w:r>
        <w:t>The lack of role recognition in policy documents diminishes the value of NPs in the workplace. NPs should work at full-scope of their license and abilities to increase efficiency without compromising quality care (McMichael, 2025). NPs work in team-based settings where their competency should not be questioned due to lack of role parity between NPs and physicians in policy documents.</w:t>
      </w:r>
    </w:p>
    <w:p w:rsidR="00CF6014" w:rsidRDefault="00000000">
      <w:pPr>
        <w:spacing w:line="480" w:lineRule="auto"/>
        <w:jc w:val="center"/>
      </w:pPr>
      <w:r>
        <w:rPr>
          <w:b/>
        </w:rPr>
        <w:lastRenderedPageBreak/>
        <w:t>Project Foundations</w:t>
      </w:r>
    </w:p>
    <w:p w:rsidR="00CF6014" w:rsidRDefault="00000000">
      <w:pPr>
        <w:spacing w:line="480" w:lineRule="auto"/>
      </w:pPr>
      <w:r>
        <w:rPr>
          <w:b/>
        </w:rPr>
        <w:t>Problem Statement</w:t>
      </w:r>
    </w:p>
    <w:p w:rsidR="00CF6014" w:rsidRDefault="00000000">
      <w:pPr>
        <w:spacing w:line="480" w:lineRule="auto"/>
        <w:ind w:firstLine="720"/>
      </w:pPr>
      <w:r>
        <w:t>PWUS entering the BC Corrections system frequently experience suboptimal management of substance withdrawal sequelae. Inconsistent approaches to medication initiation and symptom treatment decrease retention in harm-reduction strategies, increase diversion within correctional centers, and increase recidivism rates.</w:t>
      </w:r>
    </w:p>
    <w:p w:rsidR="00CF6014" w:rsidRDefault="00000000">
      <w:pPr>
        <w:spacing w:line="480" w:lineRule="auto"/>
      </w:pPr>
      <w:r>
        <w:rPr>
          <w:b/>
        </w:rPr>
        <w:t>Purpose Statement</w:t>
      </w:r>
    </w:p>
    <w:p w:rsidR="00CF6014" w:rsidRDefault="00000000">
      <w:pPr>
        <w:spacing w:line="480" w:lineRule="auto"/>
        <w:ind w:firstLine="720"/>
      </w:pPr>
      <w:r>
        <w:t>The purpose of this DNP quality improvement project is to develop, introduce, and evaluate standardized PPO protocols to manage substance withdrawal among individuals entering the BC correctional system. The transformational-servant leadership model will be employed to enact change through Kotter’s 8-steps change framework (</w:t>
      </w:r>
      <w:proofErr w:type="spellStart"/>
      <w:r>
        <w:t>Divya</w:t>
      </w:r>
      <w:proofErr w:type="spellEnd"/>
      <w:r>
        <w:t xml:space="preserve"> &amp; </w:t>
      </w:r>
      <w:proofErr w:type="spellStart"/>
      <w:r>
        <w:t>Suganthi</w:t>
      </w:r>
      <w:proofErr w:type="spellEnd"/>
      <w:r>
        <w:t>, 2017; Harrison et al., 2021). Implementation of evidence-based approaches to medication initiation and symptom management will enhance patient outcomes, reduce mortality rates, promote adherence to harm reduction strategies, reduce contraband medication diversion, and contribute to lower recidivism.  </w:t>
      </w:r>
    </w:p>
    <w:p w:rsidR="00CF6014" w:rsidRDefault="00000000">
      <w:pPr>
        <w:spacing w:line="480" w:lineRule="auto"/>
        <w:jc w:val="center"/>
      </w:pPr>
      <w:r>
        <w:rPr>
          <w:b/>
        </w:rPr>
        <w:t>Conclusion</w:t>
      </w:r>
    </w:p>
    <w:p w:rsidR="00CF6014" w:rsidRDefault="00000000">
      <w:pPr>
        <w:spacing w:line="480" w:lineRule="auto"/>
        <w:ind w:firstLine="720"/>
      </w:pPr>
      <w:r>
        <w:t xml:space="preserve">Nurse Practitioners in correctional settings are excellent advocates for patient-centered practice changes. DNP preparation expands NP acumen to translate research into practice at a systems level and encourage health equity. Pre-printed orders will standardize withdrawal management using evidence-based practices to benefit both patients and healthcare staff. Compassionate and robust management of withdrawal symptoms upon admission increases retention rates for harm-reduction strategies. It also decreases risk of mortality upon release from the corrections system. Incarceration is a prime opportunity to introduce comprehensive </w:t>
      </w:r>
      <w:r>
        <w:lastRenderedPageBreak/>
        <w:t>substance use supports, breaking the cycle of relapse and recidivism. As a DNP candidate, I feel well supported to address this challenge in the BC corrections healthcare setting.</w:t>
      </w:r>
    </w:p>
    <w:p w:rsidR="00CF6014" w:rsidRDefault="00CF6014">
      <w:pPr>
        <w:sectPr w:rsidR="00CF6014">
          <w:headerReference w:type="default" r:id="rId7"/>
          <w:pgSz w:w="12240" w:h="15840"/>
          <w:pgMar w:top="1440" w:right="1440" w:bottom="1440" w:left="1440" w:header="720" w:footer="720" w:gutter="0"/>
          <w:cols w:space="720"/>
        </w:sectPr>
      </w:pPr>
    </w:p>
    <w:p w:rsidR="00CF6014" w:rsidRDefault="00000000">
      <w:pPr>
        <w:spacing w:line="480" w:lineRule="auto"/>
        <w:jc w:val="center"/>
      </w:pPr>
      <w:r>
        <w:rPr>
          <w:b/>
        </w:rPr>
        <w:lastRenderedPageBreak/>
        <w:t>References</w:t>
      </w:r>
    </w:p>
    <w:p w:rsidR="00CF6014" w:rsidRDefault="00000000">
      <w:pPr>
        <w:spacing w:line="480" w:lineRule="auto"/>
        <w:ind w:left="720" w:hanging="720"/>
      </w:pPr>
      <w:r>
        <w:t xml:space="preserve">Butler, Nicholls, </w:t>
      </w:r>
      <w:proofErr w:type="spellStart"/>
      <w:r>
        <w:t>Samji</w:t>
      </w:r>
      <w:proofErr w:type="spellEnd"/>
      <w:r>
        <w:t xml:space="preserve">, Fabian, &amp; Lavergne. (2024). Mental Health Needs, Substance Use, and Reincarceration: Population-Level Findings </w:t>
      </w:r>
      <w:proofErr w:type="gramStart"/>
      <w:r>
        <w:t>From</w:t>
      </w:r>
      <w:proofErr w:type="gramEnd"/>
      <w:r>
        <w:t xml:space="preserve"> a Released Prison Cohort. </w:t>
      </w:r>
      <w:r>
        <w:rPr>
          <w:i/>
        </w:rPr>
        <w:t>Criminal Justice and Behavior</w:t>
      </w:r>
      <w:r>
        <w:t xml:space="preserve">, </w:t>
      </w:r>
      <w:r>
        <w:rPr>
          <w:i/>
        </w:rPr>
        <w:t>51</w:t>
      </w:r>
      <w:r>
        <w:t>(7), 1054–1071. https://doi.org/10.1177/00938548241238327</w:t>
      </w:r>
    </w:p>
    <w:p w:rsidR="00CF6014" w:rsidRDefault="00000000">
      <w:pPr>
        <w:spacing w:line="480" w:lineRule="auto"/>
        <w:ind w:left="720" w:hanging="720"/>
      </w:pPr>
      <w:r>
        <w:t xml:space="preserve">Deng, C., </w:t>
      </w:r>
      <w:proofErr w:type="spellStart"/>
      <w:r>
        <w:t>Gulseren</w:t>
      </w:r>
      <w:proofErr w:type="spellEnd"/>
      <w:r>
        <w:t xml:space="preserve">, D., Isola, C., </w:t>
      </w:r>
      <w:proofErr w:type="spellStart"/>
      <w:r>
        <w:t>Grocutt</w:t>
      </w:r>
      <w:proofErr w:type="spellEnd"/>
      <w:r>
        <w:t xml:space="preserve">, K., &amp; Turner, N. (2023). Transformational leadership effectiveness: an evidence-based primer. </w:t>
      </w:r>
      <w:r>
        <w:rPr>
          <w:i/>
        </w:rPr>
        <w:t>Human Resource Development International</w:t>
      </w:r>
      <w:r>
        <w:t xml:space="preserve">, </w:t>
      </w:r>
      <w:r>
        <w:rPr>
          <w:i/>
        </w:rPr>
        <w:t>26</w:t>
      </w:r>
      <w:r>
        <w:t>(5), 627–641. https://doi.org/10.1080/13678868.2022.2135938</w:t>
      </w:r>
    </w:p>
    <w:p w:rsidR="00CF6014" w:rsidRDefault="00000000">
      <w:pPr>
        <w:spacing w:line="480" w:lineRule="auto"/>
        <w:ind w:left="720" w:hanging="720"/>
      </w:pPr>
      <w:proofErr w:type="spellStart"/>
      <w:r>
        <w:t>Divya</w:t>
      </w:r>
      <w:proofErr w:type="spellEnd"/>
      <w:r>
        <w:t xml:space="preserve">, S., &amp; </w:t>
      </w:r>
      <w:proofErr w:type="spellStart"/>
      <w:r>
        <w:t>Suganthi</w:t>
      </w:r>
      <w:proofErr w:type="spellEnd"/>
      <w:r>
        <w:t xml:space="preserve">, L. (2017). Influence of transformational-servant leadership styles and justice perceptions on employee burnout: a moderated mediation model. </w:t>
      </w:r>
      <w:r>
        <w:rPr>
          <w:i/>
        </w:rPr>
        <w:t>International Journal of Business Innovation and Research</w:t>
      </w:r>
      <w:r>
        <w:t xml:space="preserve">, </w:t>
      </w:r>
      <w:r>
        <w:rPr>
          <w:i/>
        </w:rPr>
        <w:t>15</w:t>
      </w:r>
      <w:r>
        <w:t>(1), 119–135. https://doi.org/10.1504/IJBIR.2018.088475</w:t>
      </w:r>
    </w:p>
    <w:p w:rsidR="00CF6014" w:rsidRDefault="00000000">
      <w:pPr>
        <w:spacing w:line="480" w:lineRule="auto"/>
        <w:ind w:left="720" w:hanging="720"/>
      </w:pPr>
      <w:proofErr w:type="spellStart"/>
      <w:r>
        <w:t>Ehringer</w:t>
      </w:r>
      <w:proofErr w:type="spellEnd"/>
      <w:r>
        <w:t xml:space="preserve">, G., &amp; Duffy, B. (2009). Promoting Best Practice and Safety Through Preprinted Physician Orders. </w:t>
      </w:r>
      <w:r>
        <w:rPr>
          <w:i/>
        </w:rPr>
        <w:t>Journal of Medical Regulation</w:t>
      </w:r>
      <w:r>
        <w:t xml:space="preserve">, </w:t>
      </w:r>
      <w:r>
        <w:rPr>
          <w:i/>
        </w:rPr>
        <w:t>95</w:t>
      </w:r>
      <w:r>
        <w:t>(1), 25–35. https://doi.org/10.30770/2572-1852-95.1.25</w:t>
      </w:r>
    </w:p>
    <w:p w:rsidR="00CF6014" w:rsidRDefault="00000000">
      <w:pPr>
        <w:spacing w:line="480" w:lineRule="auto"/>
        <w:ind w:left="720" w:hanging="720"/>
      </w:pPr>
      <w:r>
        <w:t xml:space="preserve">Evans, E. A., </w:t>
      </w:r>
      <w:proofErr w:type="spellStart"/>
      <w:r>
        <w:t>Pivovarova</w:t>
      </w:r>
      <w:proofErr w:type="spellEnd"/>
      <w:r>
        <w:t xml:space="preserve">, E., </w:t>
      </w:r>
      <w:proofErr w:type="spellStart"/>
      <w:r>
        <w:t>Senthilkumar</w:t>
      </w:r>
      <w:proofErr w:type="spellEnd"/>
      <w:r>
        <w:t xml:space="preserve">, R., </w:t>
      </w:r>
      <w:proofErr w:type="spellStart"/>
      <w:r>
        <w:t>Rottapel</w:t>
      </w:r>
      <w:proofErr w:type="spellEnd"/>
      <w:r>
        <w:t xml:space="preserve">, R. E., </w:t>
      </w:r>
      <w:proofErr w:type="spellStart"/>
      <w:r>
        <w:t>Stopka</w:t>
      </w:r>
      <w:proofErr w:type="spellEnd"/>
      <w:r>
        <w:t xml:space="preserve">, T. J., </w:t>
      </w:r>
      <w:proofErr w:type="spellStart"/>
      <w:r>
        <w:t>Santelices</w:t>
      </w:r>
      <w:proofErr w:type="spellEnd"/>
      <w:r>
        <w:t xml:space="preserve">, C., Ferguson, W. J., &amp; Friedman, P. D. (2024). Diversion of medications to treat opioid use disorder: Qualitative findings from formerly incarcerated adults in Massachusetts. </w:t>
      </w:r>
      <w:r>
        <w:rPr>
          <w:i/>
        </w:rPr>
        <w:t>International Journal of Drug Policy</w:t>
      </w:r>
      <w:r>
        <w:t xml:space="preserve">, </w:t>
      </w:r>
      <w:r>
        <w:rPr>
          <w:i/>
        </w:rPr>
        <w:t>122</w:t>
      </w:r>
      <w:r>
        <w:t>, Article 104252. https://doi.org/10.1016/j.drugpo.2023.104252</w:t>
      </w:r>
    </w:p>
    <w:p w:rsidR="00CF6014" w:rsidRDefault="00000000">
      <w:pPr>
        <w:spacing w:line="480" w:lineRule="auto"/>
        <w:ind w:left="720" w:hanging="720"/>
      </w:pPr>
      <w:r>
        <w:t xml:space="preserve">Government of Canada. (2025, August 26). </w:t>
      </w:r>
      <w:r>
        <w:rPr>
          <w:i/>
        </w:rPr>
        <w:t>Health Services Careers</w:t>
      </w:r>
      <w:r>
        <w:t>. Government of Canada. http://www.canada.ca/en/correctional-service/services/you-csc/working-csc/health-services-recruitment.html</w:t>
      </w:r>
    </w:p>
    <w:p w:rsidR="00CF6014" w:rsidRDefault="00000000">
      <w:pPr>
        <w:spacing w:line="480" w:lineRule="auto"/>
        <w:ind w:left="720" w:hanging="720"/>
      </w:pPr>
      <w:r>
        <w:lastRenderedPageBreak/>
        <w:t xml:space="preserve">Kaplowitz, E., Truong, A. Q., Berk, J., Martin, R. A., Clarke, J. G., Wieck, M., Rich, J., &amp; Brinkley-Rubinstein, L. (2022). Treatment preference for opioid use disorder among people who are incarcerated. </w:t>
      </w:r>
      <w:r>
        <w:rPr>
          <w:i/>
        </w:rPr>
        <w:t>Journal of Substance Abuse Treatment</w:t>
      </w:r>
      <w:r>
        <w:t xml:space="preserve">, </w:t>
      </w:r>
      <w:r>
        <w:rPr>
          <w:i/>
        </w:rPr>
        <w:t>137</w:t>
      </w:r>
      <w:r>
        <w:t>, Article 108690. https://doi.org/10.1016/j.jsat.2021.108690</w:t>
      </w:r>
    </w:p>
    <w:p w:rsidR="00CF6014" w:rsidRDefault="00000000">
      <w:pPr>
        <w:spacing w:line="480" w:lineRule="auto"/>
        <w:ind w:left="720" w:hanging="720"/>
      </w:pPr>
      <w:r>
        <w:t xml:space="preserve">Markiewicz, A. M. (2025). Knowledge for nursing practice. In D. M. Schadewald (Ed.), </w:t>
      </w:r>
      <w:proofErr w:type="spellStart"/>
      <w:r>
        <w:rPr>
          <w:i/>
        </w:rPr>
        <w:t>Zaccagnini</w:t>
      </w:r>
      <w:proofErr w:type="spellEnd"/>
      <w:r>
        <w:rPr>
          <w:i/>
        </w:rPr>
        <w:t xml:space="preserve"> &amp; White's core competencies for nursing practice: A guide for NPs</w:t>
      </w:r>
      <w:r>
        <w:t xml:space="preserve"> (5th ed., pp. 3–26). Jones &amp; Bartlett Learning.</w:t>
      </w:r>
    </w:p>
    <w:p w:rsidR="00CF6014" w:rsidRDefault="00000000">
      <w:pPr>
        <w:spacing w:line="480" w:lineRule="auto"/>
        <w:ind w:left="720" w:hanging="720"/>
      </w:pPr>
      <w:r>
        <w:t xml:space="preserve">McMichael, B. J. (2025). The impact of nurse practitioner scope-of-practice laws on preventable hospitalizations. </w:t>
      </w:r>
      <w:r>
        <w:rPr>
          <w:i/>
        </w:rPr>
        <w:t>Journal of Health Economics</w:t>
      </w:r>
      <w:r>
        <w:t xml:space="preserve">, </w:t>
      </w:r>
      <w:r>
        <w:rPr>
          <w:i/>
        </w:rPr>
        <w:t>103</w:t>
      </w:r>
      <w:r>
        <w:t>, 103044. https://doi.org/10.1016/j.jhealeco.2025.103044</w:t>
      </w:r>
    </w:p>
    <w:p w:rsidR="00CF6014" w:rsidRDefault="00000000">
      <w:pPr>
        <w:spacing w:line="480" w:lineRule="auto"/>
        <w:ind w:left="720" w:hanging="720"/>
      </w:pPr>
      <w:proofErr w:type="spellStart"/>
      <w:r>
        <w:t>Nijor</w:t>
      </w:r>
      <w:proofErr w:type="spellEnd"/>
      <w:r>
        <w:t xml:space="preserve">, S., Rallis, G., Lad, N., &amp; </w:t>
      </w:r>
      <w:proofErr w:type="spellStart"/>
      <w:r>
        <w:t>Gokcen</w:t>
      </w:r>
      <w:proofErr w:type="spellEnd"/>
      <w:r>
        <w:t xml:space="preserve">, E. (2022). Patient Safety Issues </w:t>
      </w:r>
      <w:proofErr w:type="gramStart"/>
      <w:r>
        <w:t>From</w:t>
      </w:r>
      <w:proofErr w:type="gramEnd"/>
      <w:r>
        <w:t xml:space="preserve"> Information Overload in Electronic Medical Records. </w:t>
      </w:r>
      <w:r>
        <w:rPr>
          <w:i/>
        </w:rPr>
        <w:t>Journal of Patient Safety</w:t>
      </w:r>
      <w:r>
        <w:t xml:space="preserve">, </w:t>
      </w:r>
      <w:r>
        <w:rPr>
          <w:i/>
        </w:rPr>
        <w:t>18</w:t>
      </w:r>
      <w:r>
        <w:t>(6). https://journals-lww-com.mwu.idm.oclc.org/journalpatientsafety/fulltext/2022/09000/patient_safety_issues_from_information_overload_in.34.aspx</w:t>
      </w:r>
    </w:p>
    <w:sectPr w:rsidR="00CF6014">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3C08" w:rsidRDefault="00513C08">
      <w:r>
        <w:separator/>
      </w:r>
    </w:p>
  </w:endnote>
  <w:endnote w:type="continuationSeparator" w:id="0">
    <w:p w:rsidR="00513C08" w:rsidRDefault="0051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3C08" w:rsidRDefault="00513C08">
      <w:r>
        <w:separator/>
      </w:r>
    </w:p>
  </w:footnote>
  <w:footnote w:type="continuationSeparator" w:id="0">
    <w:p w:rsidR="00513C08" w:rsidRDefault="00513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8398"/>
      <w:gridCol w:w="962"/>
    </w:tblGrid>
    <w:tr w:rsidR="00CF6014">
      <w:tc>
        <w:tcPr>
          <w:tcW w:w="11016" w:type="dxa"/>
        </w:tcPr>
        <w:p w:rsidR="00CF6014" w:rsidRDefault="00CF6014"/>
      </w:tc>
      <w:tc>
        <w:tcPr>
          <w:tcW w:w="1224" w:type="dxa"/>
        </w:tcPr>
        <w:p w:rsidR="00CF6014" w:rsidRDefault="00000000">
          <w:pPr>
            <w:jc w:val="right"/>
          </w:pPr>
          <w:r>
            <w:fldChar w:fldCharType="begin"/>
          </w:r>
          <w:r>
            <w:instrText xml:space="preserve"> PAGE   \* MERGEFORMAT </w:instrText>
          </w:r>
          <w:r w:rsidR="005D289A">
            <w:fldChar w:fldCharType="separate"/>
          </w:r>
          <w:r w:rsidR="005D289A">
            <w:rPr>
              <w:noProof/>
            </w:rPr>
            <w:t>1</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8398"/>
      <w:gridCol w:w="962"/>
    </w:tblGrid>
    <w:tr w:rsidR="00CF6014">
      <w:tc>
        <w:tcPr>
          <w:tcW w:w="11016" w:type="dxa"/>
        </w:tcPr>
        <w:p w:rsidR="00CF6014" w:rsidRDefault="00CF6014"/>
      </w:tc>
      <w:tc>
        <w:tcPr>
          <w:tcW w:w="1224" w:type="dxa"/>
        </w:tcPr>
        <w:p w:rsidR="00CF6014" w:rsidRDefault="00000000">
          <w:pPr>
            <w:jc w:val="right"/>
          </w:pPr>
          <w:r>
            <w:fldChar w:fldCharType="begin"/>
          </w:r>
          <w:r>
            <w:instrText xml:space="preserve"> PAGE   \* MERGEFORMAT </w:instrText>
          </w:r>
          <w:r w:rsidR="005D289A">
            <w:fldChar w:fldCharType="separate"/>
          </w:r>
          <w:r w:rsidR="005D289A">
            <w:rPr>
              <w:noProof/>
            </w:rPr>
            <w:t>2</w:t>
          </w:r>
          <w: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8398"/>
      <w:gridCol w:w="962"/>
    </w:tblGrid>
    <w:tr w:rsidR="00CF6014">
      <w:tc>
        <w:tcPr>
          <w:tcW w:w="11016" w:type="dxa"/>
        </w:tcPr>
        <w:p w:rsidR="00CF6014" w:rsidRDefault="00CF6014"/>
      </w:tc>
      <w:tc>
        <w:tcPr>
          <w:tcW w:w="1224" w:type="dxa"/>
        </w:tcPr>
        <w:p w:rsidR="00CF6014" w:rsidRDefault="00000000">
          <w:pPr>
            <w:jc w:val="right"/>
          </w:pPr>
          <w:r>
            <w:fldChar w:fldCharType="begin"/>
          </w:r>
          <w:r>
            <w:instrText xml:space="preserve"> PAGE   \* MERGEFORMAT </w:instrText>
          </w:r>
          <w:r w:rsidR="005D289A">
            <w:fldChar w:fldCharType="separate"/>
          </w:r>
          <w:r w:rsidR="005D289A">
            <w:rPr>
              <w:noProof/>
            </w:rPr>
            <w:t>7</w:t>
          </w:r>
          <w:r>
            <w:fldChar w:fldCharType="end"/>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14"/>
    <w:rsid w:val="00513C08"/>
    <w:rsid w:val="005D289A"/>
    <w:rsid w:val="00CF60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docId w15:val="{7D910857-FE24-1842-9C8F-4E1EEF4E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pPr>
      <w:spacing w:after="0" w:line="240" w:lineRule="auto"/>
    </w:pPr>
    <w:rPr>
      <w:rFonts w:ascii="Times New Roman" w:hAnsi="Times New Roman" w:cs="Times New Roman"/>
      <w:color w:val="000000"/>
      <w:sz w:val="24"/>
      <w:szCs w:val="24"/>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rPr>
      <w:b/>
      <w:bCs/>
      <w:color w:val="4472C4" w:themeColor="accent1"/>
      <w:sz w:val="18"/>
      <w:szCs w:val="18"/>
    </w:rPr>
  </w:style>
  <w:style w:type="paragraph" w:customStyle="1" w:styleId="DefaultParagraphFont0">
    <w:name w:val="DefaultParagraphFont"/>
    <w:rPr>
      <w:b/>
    </w:rPr>
  </w:style>
  <w:style w:type="character" w:styleId="FootnoteReference">
    <w:name w:val="footnote reference"/>
    <w:uiPriority w:val="1"/>
    <w:semiHidden/>
    <w:unhideWhenUsed/>
    <w:rPr>
      <w:vertAlign w:val="superscript"/>
    </w:rPr>
  </w:style>
  <w:style w:type="paragraph" w:customStyle="1" w:styleId="BodyFootnote">
    <w:name w:val="BodyFootnote"/>
    <w:rPr>
      <w:rFonts w:ascii="Times New Roman" w:hAnsi="Times New Roman" w:cs="Times New Roman"/>
      <w:color w:val="000000"/>
      <w:sz w:val="24"/>
      <w:szCs w:val="24"/>
    </w:rPr>
  </w:style>
  <w:style w:type="paragraph" w:customStyle="1" w:styleId="AppendixFootnote">
    <w:name w:val="AppendixFootnote"/>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1422</Words>
  <Characters>8106</Characters>
  <Application>Microsoft Office Word</Application>
  <DocSecurity>0</DocSecurity>
  <Lines>67</Lines>
  <Paragraphs>19</Paragraphs>
  <ScaleCrop>false</ScaleCrop>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Tess Walde</cp:lastModifiedBy>
  <cp:revision>2</cp:revision>
  <dcterms:created xsi:type="dcterms:W3CDTF">2025-09-10T23:22:00Z</dcterms:created>
  <dcterms:modified xsi:type="dcterms:W3CDTF">2025-09-10T23:22:00Z</dcterms:modified>
</cp:coreProperties>
</file>